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72E41">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Review article / Perspective article</w:t>
      </w:r>
    </w:p>
    <w:p w14:paraId="27143329">
      <w:pPr>
        <w:pBdr>
          <w:bottom w:val="single" w:color="auto" w:sz="6" w:space="1"/>
        </w:pBd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14:paraId="514DD03D">
      <w:pPr>
        <w:pBdr>
          <w:bottom w:val="single" w:color="auto" w:sz="6" w:space="1"/>
        </w:pBdr>
        <w:spacing w:line="360" w:lineRule="auto"/>
        <w:jc w:val="both"/>
        <w:rPr>
          <w:rFonts w:ascii="Times New Roman" w:hAnsi="Times New Roman" w:cs="Times New Roman"/>
          <w:b/>
          <w:bCs/>
          <w:sz w:val="24"/>
          <w:szCs w:val="24"/>
          <w:lang w:val="en-GB"/>
        </w:rPr>
      </w:pPr>
    </w:p>
    <w:p w14:paraId="4B0AADB1">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0B3B70F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acceptable length of abstract is 200–400 words. The abstract should provide a brief summary of the paper. It should not contain any non-standard abbreviations, acknowledgments of support, references, footnotes.</w:t>
      </w:r>
    </w:p>
    <w:p w14:paraId="026983AF">
      <w:pPr>
        <w:pBdr>
          <w:bottom w:val="single" w:color="auto" w:sz="6" w:space="1"/>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 Key word 2; Key word 3; Key word 4; Key word 5; Key word 6</w:t>
      </w:r>
    </w:p>
    <w:p w14:paraId="6421850E">
      <w:pPr>
        <w:spacing w:line="360" w:lineRule="auto"/>
        <w:jc w:val="both"/>
        <w:rPr>
          <w:rFonts w:ascii="Times New Roman" w:hAnsi="Times New Roman" w:cs="Times New Roman"/>
          <w:sz w:val="24"/>
          <w:szCs w:val="24"/>
          <w:lang w:val="en-GB"/>
        </w:rPr>
      </w:pPr>
    </w:p>
    <w:p w14:paraId="2D66932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Heading</w:t>
      </w:r>
    </w:p>
    <w:p w14:paraId="6FBA3C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sz w:val="24"/>
          <w:szCs w:val="24"/>
        </w:rPr>
        <w:t>de facto</w:t>
      </w:r>
      <w:r>
        <w:rPr>
          <w:rFonts w:ascii="Times New Roman" w:hAnsi="Times New Roman" w:cs="Times New Roman"/>
          <w:sz w:val="24"/>
          <w:szCs w:val="24"/>
        </w:rPr>
        <w:t>, they should be italicized. Authors are encouraged to have their manuscript proofread prior to submission.</w:t>
      </w:r>
    </w:p>
    <w:p w14:paraId="5E885E0A">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the first section, commonly known as the Introduction or Background.</w:t>
      </w:r>
    </w:p>
    <w:p w14:paraId="37358E91">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14:paraId="2C81E88A">
      <w:pPr>
        <w:spacing w:line="360" w:lineRule="auto"/>
        <w:jc w:val="both"/>
        <w:rPr>
          <w:rFonts w:ascii="Times New Roman" w:hAnsi="Times New Roman" w:cs="Times New Roman"/>
          <w:iCs/>
          <w:sz w:val="24"/>
          <w:szCs w:val="24"/>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w:t>
      </w:r>
    </w:p>
    <w:p w14:paraId="3964BB65">
      <w:pPr>
        <w:spacing w:line="360" w:lineRule="auto"/>
        <w:jc w:val="both"/>
        <w:rPr>
          <w:rFonts w:ascii="Times New Roman" w:hAnsi="Times New Roman" w:cs="Times New Roman"/>
          <w:sz w:val="24"/>
          <w:szCs w:val="24"/>
        </w:rPr>
      </w:pPr>
    </w:p>
    <w:p w14:paraId="0C2A90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Heading </w:t>
      </w:r>
    </w:p>
    <w:p w14:paraId="4F0F26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Sub-heading</w:t>
      </w:r>
      <w:bookmarkStart w:id="0" w:name="_GoBack"/>
      <w:bookmarkEnd w:id="0"/>
    </w:p>
    <w:p w14:paraId="62F339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figures and tables presented in the paper should be cited in the text in chronological order; 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the </w:t>
      </w:r>
      <w:r>
        <w:rPr>
          <w:rFonts w:hint="eastAsia" w:ascii="Times New Roman" w:hAnsi="Times New Roman" w:cs="Times New Roman"/>
          <w:sz w:val="24"/>
          <w:szCs w:val="24"/>
          <w:lang w:val="en-US" w:eastAsia="zh-CN"/>
        </w:rPr>
        <w:t>river</w:t>
      </w:r>
      <w:r>
        <w:rPr>
          <w:rFonts w:ascii="Times New Roman" w:hAnsi="Times New Roman" w:cs="Times New Roman"/>
          <w:sz w:val="24"/>
          <w:szCs w:val="24"/>
        </w:rPr>
        <w:t xml:space="preserve">,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at the back of manuscript.</w:t>
      </w:r>
    </w:p>
    <w:p w14:paraId="27FFB8BD">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14:paraId="5A2701BC">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14:paraId="57A633B8">
      <w:pPr>
        <w:spacing w:line="360" w:lineRule="auto"/>
        <w:jc w:val="both"/>
        <w:rPr>
          <w:rFonts w:ascii="Times New Roman" w:hAnsi="Times New Roman" w:cs="Times New Roman"/>
          <w:sz w:val="24"/>
          <w:szCs w:val="24"/>
        </w:rPr>
      </w:pPr>
    </w:p>
    <w:p w14:paraId="2CCFD5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Sub-heading</w:t>
      </w:r>
    </w:p>
    <w:p w14:paraId="1186C4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tex.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flowchart.</w:t>
      </w:r>
    </w:p>
    <w:p w14:paraId="104D535B">
      <w:pPr>
        <w:spacing w:line="360" w:lineRule="auto"/>
        <w:jc w:val="both"/>
        <w:rPr>
          <w:rFonts w:ascii="Times New Roman" w:hAnsi="Times New Roman" w:cs="Times New Roman"/>
          <w:sz w:val="24"/>
          <w:szCs w:val="24"/>
        </w:rPr>
      </w:pPr>
    </w:p>
    <w:p w14:paraId="0F4A31E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Sub-heading</w:t>
      </w:r>
    </w:p>
    <w:p w14:paraId="7AF13E96">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14:paraId="13FAF3CF">
      <w:pPr>
        <w:spacing w:line="360" w:lineRule="auto"/>
        <w:jc w:val="both"/>
        <w:rPr>
          <w:rFonts w:ascii="Times New Roman" w:hAnsi="Times New Roman" w:cs="Times New Roman"/>
          <w:sz w:val="24"/>
          <w:szCs w:val="24"/>
        </w:rPr>
      </w:pPr>
      <m:oMath>
        <m:r>
          <m:rPr/>
          <w:rPr>
            <w:rFonts w:ascii="Cambria Math" w:hAnsi="Cambria Math" w:cs="Times New Roman"/>
            <w:sz w:val="24"/>
            <w:szCs w:val="24"/>
          </w:rPr>
          <m:t>E=m</m:t>
        </m:r>
        <m:sSup>
          <m:sSupPr>
            <m:ctrlPr>
              <w:rPr>
                <w:rFonts w:ascii="Cambria Math" w:hAnsi="Cambria Math" w:cs="Times New Roman"/>
                <w:i/>
                <w:sz w:val="24"/>
                <w:szCs w:val="24"/>
              </w:rPr>
            </m:ctrlPr>
          </m:sSupPr>
          <m:e>
            <m:r>
              <m:rPr/>
              <w:rPr>
                <w:rFonts w:ascii="Cambria Math" w:hAnsi="Cambria Math" w:cs="Times New Roman"/>
                <w:sz w:val="24"/>
                <w:szCs w:val="24"/>
              </w:rPr>
              <m:t>c</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w:t>
      </w:r>
    </w:p>
    <w:p w14:paraId="41517E28">
      <w:pPr>
        <w:spacing w:line="360" w:lineRule="auto"/>
        <w:jc w:val="both"/>
        <w:rPr>
          <w:rFonts w:ascii="Times New Roman" w:hAnsi="Times New Roman" w:cs="Times New Roman"/>
          <w:sz w:val="24"/>
          <w:szCs w:val="24"/>
        </w:rPr>
      </w:pPr>
    </w:p>
    <w:p w14:paraId="727626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Minor sub-heading</w:t>
      </w:r>
    </w:p>
    <w:p w14:paraId="39AE0B67">
      <w:pPr>
        <w:spacing w:line="360" w:lineRule="auto"/>
        <w:jc w:val="both"/>
        <w:rPr>
          <w:rFonts w:ascii="Times New Roman" w:hAnsi="Times New Roman" w:cs="Times New Roman"/>
          <w:sz w:val="24"/>
          <w:szCs w:val="24"/>
        </w:rPr>
      </w:pPr>
      <w:r>
        <w:rPr>
          <w:rFonts w:hint="eastAsia" w:ascii="Times New Roman" w:hAnsi="Times New Roman" w:cs="Times New Roman"/>
          <w:i/>
          <w:iCs/>
          <w:sz w:val="24"/>
          <w:szCs w:val="24"/>
        </w:rPr>
        <w:t>Asian Journal of Water, Environment, and Pollution</w:t>
      </w:r>
      <w:r>
        <w:rPr>
          <w:rFonts w:ascii="Times New Roman" w:hAnsi="Times New Roman" w:cs="Times New Roman"/>
          <w:i/>
          <w:iCs/>
          <w:sz w:val="24"/>
          <w:szCs w:val="24"/>
        </w:rPr>
        <w:t xml:space="preserve"> </w:t>
      </w:r>
      <w:r>
        <w:rPr>
          <w:rFonts w:ascii="Times New Roman" w:hAnsi="Times New Roman" w:cs="Times New Roman"/>
          <w:sz w:val="24"/>
          <w:szCs w:val="24"/>
        </w:rPr>
        <w:t>allows up to 3 levels of headings.</w:t>
      </w:r>
    </w:p>
    <w:p w14:paraId="64F8518C">
      <w:pPr>
        <w:spacing w:line="360" w:lineRule="auto"/>
        <w:jc w:val="both"/>
        <w:rPr>
          <w:rFonts w:ascii="Times New Roman" w:hAnsi="Times New Roman" w:cs="Times New Roman"/>
          <w:sz w:val="24"/>
          <w:szCs w:val="24"/>
        </w:rPr>
      </w:pPr>
    </w:p>
    <w:p w14:paraId="255D4D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Minor sub-heading</w:t>
      </w:r>
    </w:p>
    <w:p w14:paraId="07774D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3BF4B97E">
      <w:pPr>
        <w:spacing w:line="360" w:lineRule="auto"/>
        <w:jc w:val="both"/>
        <w:rPr>
          <w:rFonts w:ascii="Times New Roman" w:hAnsi="Times New Roman" w:cs="Times New Roman"/>
          <w:sz w:val="24"/>
          <w:szCs w:val="24"/>
        </w:rPr>
      </w:pPr>
    </w:p>
    <w:p w14:paraId="686A2E74">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Heading</w:t>
      </w:r>
    </w:p>
    <w:p w14:paraId="463E6C09">
      <w:pPr>
        <w:spacing w:line="360" w:lineRule="auto"/>
        <w:jc w:val="both"/>
        <w:rPr>
          <w:rFonts w:ascii="Times New Roman" w:hAnsi="Times New Roman" w:cs="Times New Roman"/>
          <w:sz w:val="24"/>
          <w:szCs w:val="24"/>
        </w:rPr>
      </w:pPr>
      <w:r>
        <w:rPr>
          <w:rFonts w:hint="eastAsia" w:ascii="Times New Roman" w:hAnsi="Times New Roman" w:cs="Times New Roman"/>
          <w:i/>
          <w:iCs/>
          <w:sz w:val="24"/>
          <w:szCs w:val="24"/>
        </w:rPr>
        <w:t>Asian Journal of Water, Environment, and Pollution</w:t>
      </w:r>
      <w:r>
        <w:rPr>
          <w:rFonts w:ascii="Times New Roman" w:hAnsi="Times New Roman" w:cs="Times New Roman"/>
          <w:i/>
          <w:iCs/>
          <w:sz w:val="24"/>
          <w:szCs w:val="24"/>
        </w:rPr>
        <w:t xml:space="preserve"> </w:t>
      </w:r>
      <w:r>
        <w:rPr>
          <w:rFonts w:ascii="Times New Roman" w:hAnsi="Times New Roman" w:cs="Times New Roman"/>
          <w:sz w:val="24"/>
          <w:szCs w:val="24"/>
        </w:rPr>
        <w:t>does not put a limit to the number of sections in review articles and perspective articles, but we advise authors adopting conciseness in their works.</w:t>
      </w:r>
    </w:p>
    <w:p w14:paraId="1E6E9781">
      <w:pPr>
        <w:spacing w:line="360" w:lineRule="auto"/>
        <w:jc w:val="both"/>
        <w:rPr>
          <w:rFonts w:ascii="Times New Roman" w:hAnsi="Times New Roman" w:cs="Times New Roman"/>
          <w:sz w:val="24"/>
          <w:szCs w:val="24"/>
          <w:lang w:val="en-GB"/>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w:t>
      </w:r>
    </w:p>
    <w:p w14:paraId="6A984E2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Heading</w:t>
      </w:r>
    </w:p>
    <w:p w14:paraId="22F796E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final section should be the concluding remarks, which should be concise. Present only the most important take-home message in this section.</w:t>
      </w:r>
    </w:p>
    <w:p w14:paraId="231DA4D2">
      <w:pPr>
        <w:spacing w:line="360" w:lineRule="auto"/>
        <w:jc w:val="both"/>
        <w:rPr>
          <w:rFonts w:ascii="Times New Roman" w:hAnsi="Times New Roman" w:cs="Times New Roman"/>
          <w:sz w:val="24"/>
          <w:szCs w:val="24"/>
          <w:lang w:val="en-GB"/>
        </w:rPr>
      </w:pPr>
    </w:p>
    <w:p w14:paraId="6B9E1A1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50B985A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References must be numbered. Include DOI if available. Managing references using software, such as EndNote and Mendeley, is strongly recommended. Personal communications and unpublished works should be excluded from this section. Refer to the Author Guidelines (</w:t>
      </w:r>
      <w:r>
        <w:rPr>
          <w:rFonts w:hint="eastAsia"/>
        </w:rPr>
        <w:t>https://accscience.com/journal/AJWEP/instructions</w:t>
      </w:r>
      <w:r>
        <w:rPr>
          <w:rFonts w:ascii="Times New Roman" w:hAnsi="Times New Roman" w:cs="Times New Roman"/>
          <w:sz w:val="24"/>
          <w:szCs w:val="24"/>
          <w:lang w:val="en-GB"/>
        </w:rPr>
        <w:t>) for more information.</w:t>
      </w:r>
    </w:p>
    <w:p w14:paraId="0ED11C58">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Younger P, 2004, Using the internet to conduct a literature search. </w:t>
      </w:r>
      <w:r>
        <w:rPr>
          <w:rFonts w:ascii="Times New Roman" w:hAnsi="Times New Roman" w:cs="Times New Roman"/>
          <w:i/>
          <w:iCs/>
          <w:sz w:val="24"/>
          <w:szCs w:val="24"/>
        </w:rPr>
        <w:t>Nurs Stand</w:t>
      </w:r>
      <w:r>
        <w:rPr>
          <w:rFonts w:ascii="Times New Roman" w:hAnsi="Times New Roman" w:cs="Times New Roman"/>
          <w:sz w:val="24"/>
          <w:szCs w:val="24"/>
        </w:rPr>
        <w:t>, 19(6): 45–51.</w:t>
      </w:r>
    </w:p>
    <w:p w14:paraId="1B49E431">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Davis M, Charles L, Curry MJ, </w:t>
      </w:r>
      <w:r>
        <w:rPr>
          <w:rFonts w:ascii="Times New Roman" w:hAnsi="Times New Roman" w:cs="Times New Roman"/>
          <w:i/>
          <w:iCs/>
          <w:sz w:val="24"/>
          <w:szCs w:val="24"/>
        </w:rPr>
        <w:t>et al</w:t>
      </w:r>
      <w:r>
        <w:rPr>
          <w:rFonts w:ascii="Times New Roman" w:hAnsi="Times New Roman" w:cs="Times New Roman"/>
          <w:sz w:val="24"/>
          <w:szCs w:val="24"/>
        </w:rPr>
        <w:t>., 2003, </w:t>
      </w:r>
      <w:r>
        <w:rPr>
          <w:rFonts w:ascii="Times New Roman" w:hAnsi="Times New Roman" w:cs="Times New Roman"/>
          <w:i/>
          <w:iCs/>
          <w:sz w:val="24"/>
          <w:szCs w:val="24"/>
        </w:rPr>
        <w:t>Challenging Spatial Norms</w:t>
      </w:r>
      <w:r>
        <w:rPr>
          <w:rFonts w:ascii="Times New Roman" w:hAnsi="Times New Roman" w:cs="Times New Roman"/>
          <w:sz w:val="24"/>
          <w:szCs w:val="24"/>
        </w:rPr>
        <w:t>, Routledge, London, 12–30.</w:t>
      </w:r>
    </w:p>
    <w:p w14:paraId="49C8A7D4">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Knowles MS, (eds) 1986, Independent study, in </w:t>
      </w:r>
      <w:r>
        <w:rPr>
          <w:rFonts w:ascii="Times New Roman" w:hAnsi="Times New Roman" w:cs="Times New Roman"/>
          <w:i/>
          <w:iCs/>
          <w:sz w:val="24"/>
          <w:szCs w:val="24"/>
        </w:rPr>
        <w:t>Using Learning Contracts</w:t>
      </w:r>
      <w:r>
        <w:rPr>
          <w:rFonts w:ascii="Times New Roman" w:hAnsi="Times New Roman" w:cs="Times New Roman"/>
          <w:sz w:val="24"/>
          <w:szCs w:val="24"/>
        </w:rPr>
        <w:t>, Jossey-Bass, San Francisco, 89–96.</w:t>
      </w:r>
    </w:p>
    <w:p w14:paraId="2DAFE8E3">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Chang SS, Liaw L, Ruppenhofer J, (eds) 2000, </w:t>
      </w:r>
      <w:r>
        <w:rPr>
          <w:rFonts w:ascii="Times New Roman" w:hAnsi="Times New Roman" w:cs="Times New Roman"/>
          <w:i/>
          <w:iCs/>
          <w:sz w:val="24"/>
          <w:szCs w:val="24"/>
        </w:rPr>
        <w:t>Proceedings of the twenty-fifth annual meeting of the Berkeley Linguistics Society, February 12–15, 1999: General session and parasession on loan word phenomena</w:t>
      </w:r>
      <w:r>
        <w:rPr>
          <w:rFonts w:ascii="Times New Roman" w:hAnsi="Times New Roman" w:cs="Times New Roman"/>
          <w:sz w:val="24"/>
          <w:szCs w:val="24"/>
        </w:rPr>
        <w:t>. Berkeley Linguistics Society, Berkeley, 12–13.</w:t>
      </w:r>
    </w:p>
    <w:p w14:paraId="0D26956B">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Este J, Warren C, Connor L, </w:t>
      </w:r>
      <w:r>
        <w:rPr>
          <w:rFonts w:ascii="Times New Roman" w:hAnsi="Times New Roman" w:cs="Times New Roman"/>
          <w:i/>
          <w:iCs/>
          <w:sz w:val="24"/>
          <w:szCs w:val="24"/>
        </w:rPr>
        <w:t>et al</w:t>
      </w:r>
      <w:r>
        <w:rPr>
          <w:rFonts w:ascii="Times New Roman" w:hAnsi="Times New Roman" w:cs="Times New Roman"/>
          <w:sz w:val="24"/>
          <w:szCs w:val="24"/>
        </w:rPr>
        <w:t>., 2008, Life in the clickstream: The future of journalism, Media Entertainment and Arts Alliance, viewed May 27, 2009, http://www.alliance.org.au/documents/ foj_report_final.pdf</w:t>
      </w:r>
    </w:p>
    <w:p w14:paraId="5222713F">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Gale L, 2000, The relationship between leadership and employee empowerment for successful total quality management, thesis, </w:t>
      </w:r>
      <w:r>
        <w:rPr>
          <w:rFonts w:ascii="Times New Roman" w:hAnsi="Times New Roman" w:cs="Times New Roman"/>
          <w:i/>
          <w:iCs/>
          <w:sz w:val="24"/>
          <w:szCs w:val="24"/>
        </w:rPr>
        <w:t>Australasian Digital Thesis database</w:t>
      </w:r>
      <w:r>
        <w:rPr>
          <w:rFonts w:ascii="Times New Roman" w:hAnsi="Times New Roman" w:cs="Times New Roman"/>
          <w:sz w:val="24"/>
          <w:szCs w:val="24"/>
        </w:rPr>
        <w:t>, University of Western Sydney, 110–130.</w:t>
      </w:r>
    </w:p>
    <w:p w14:paraId="7DC32910">
      <w:pPr>
        <w:spacing w:line="360" w:lineRule="auto"/>
        <w:jc w:val="both"/>
        <w:rPr>
          <w:rFonts w:ascii="Times New Roman" w:hAnsi="Times New Roman" w:cs="Times New Roman"/>
          <w:sz w:val="24"/>
          <w:szCs w:val="24"/>
          <w:lang w:val="en-GB"/>
        </w:rPr>
      </w:pPr>
    </w:p>
    <w:p w14:paraId="3952D583">
      <w:pPr>
        <w:spacing w:line="360" w:lineRule="auto"/>
        <w:jc w:val="both"/>
        <w:rPr>
          <w:rFonts w:ascii="Times New Roman" w:hAnsi="Times New Roman" w:cs="Times New Roman"/>
          <w:sz w:val="24"/>
          <w:szCs w:val="24"/>
          <w:lang w:val="en-GB"/>
        </w:rPr>
      </w:pPr>
    </w:p>
    <w:p w14:paraId="5A0675B2">
      <w:pPr>
        <w:spacing w:line="360" w:lineRule="auto"/>
        <w:jc w:val="both"/>
        <w:rPr>
          <w:rFonts w:ascii="Times New Roman" w:hAnsi="Times New Roman" w:cs="Times New Roman"/>
          <w:sz w:val="24"/>
          <w:szCs w:val="24"/>
          <w:lang w:val="en-GB"/>
        </w:rPr>
      </w:pPr>
    </w:p>
    <w:p w14:paraId="168A7DC0">
      <w:pPr>
        <w:spacing w:line="360" w:lineRule="auto"/>
        <w:jc w:val="both"/>
        <w:rPr>
          <w:rFonts w:ascii="Times New Roman" w:hAnsi="Times New Roman" w:cs="Times New Roman"/>
          <w:sz w:val="24"/>
          <w:szCs w:val="24"/>
          <w:lang w:val="en-GB"/>
        </w:rPr>
      </w:pPr>
    </w:p>
    <w:p w14:paraId="584F1824">
      <w:pPr>
        <w:spacing w:line="360" w:lineRule="auto"/>
        <w:jc w:val="both"/>
        <w:rPr>
          <w:rFonts w:ascii="Times New Roman" w:hAnsi="Times New Roman" w:cs="Times New Roman"/>
          <w:sz w:val="24"/>
          <w:szCs w:val="24"/>
          <w:lang w:val="en-GB"/>
        </w:rPr>
      </w:pPr>
    </w:p>
    <w:p w14:paraId="4A58D318">
      <w:pPr>
        <w:spacing w:line="360" w:lineRule="auto"/>
        <w:jc w:val="both"/>
        <w:rPr>
          <w:rFonts w:ascii="Times New Roman" w:hAnsi="Times New Roman" w:cs="Times New Roman"/>
          <w:sz w:val="24"/>
          <w:szCs w:val="24"/>
          <w:lang w:val="en-GB"/>
        </w:rPr>
      </w:pPr>
    </w:p>
    <w:p w14:paraId="16F3A4BD">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Figures and Tables</w:t>
      </w:r>
    </w:p>
    <w:p w14:paraId="5AF6FC98">
      <w:pPr>
        <w:spacing w:line="360" w:lineRule="auto"/>
        <w:jc w:val="both"/>
        <w:rPr>
          <w:rFonts w:ascii="Times New Roman" w:hAnsi="Times New Roman" w:cs="Times New Roman"/>
          <w:sz w:val="24"/>
          <w:szCs w:val="24"/>
          <w:lang w:val="en-GB"/>
        </w:rPr>
      </w:pPr>
      <w:r>
        <w:drawing>
          <wp:inline distT="0" distB="0" distL="0" distR="0">
            <wp:extent cx="1869440" cy="1402715"/>
            <wp:effectExtent l="19050" t="19050" r="1651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14:paraId="163AE03D">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p>
    <w:p w14:paraId="455F6A00">
      <w:pPr>
        <w:spacing w:line="360" w:lineRule="auto"/>
        <w:jc w:val="both"/>
        <w:rPr>
          <w:rFonts w:ascii="Times New Roman" w:hAnsi="Times New Roman" w:cs="Times New Roman"/>
          <w:sz w:val="24"/>
          <w:szCs w:val="24"/>
          <w:lang w:val="en-GB"/>
        </w:rPr>
      </w:pPr>
    </w:p>
    <w:p w14:paraId="4976871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drawing>
          <wp:inline distT="0" distB="0" distL="0" distR="0">
            <wp:extent cx="3662680" cy="1402715"/>
            <wp:effectExtent l="0" t="0" r="0" b="698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3521" cy="1406749"/>
                    </a:xfrm>
                    <a:prstGeom prst="rect">
                      <a:avLst/>
                    </a:prstGeom>
                  </pic:spPr>
                </pic:pic>
              </a:graphicData>
            </a:graphic>
          </wp:inline>
        </w:drawing>
      </w:r>
    </w:p>
    <w:p w14:paraId="52666146">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14:paraId="37ECBEA0">
      <w:pPr>
        <w:spacing w:line="360" w:lineRule="auto"/>
        <w:jc w:val="both"/>
        <w:rPr>
          <w:rFonts w:ascii="Times New Roman" w:hAnsi="Times New Roman" w:cs="Times New Roman"/>
          <w:sz w:val="24"/>
          <w:szCs w:val="24"/>
          <w:lang w:val="en-GB"/>
        </w:rPr>
      </w:pPr>
    </w:p>
    <w:p w14:paraId="6164F1E7">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1E46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7" w:type="dxa"/>
            <w:vMerge w:val="restart"/>
          </w:tcPr>
          <w:p w14:paraId="337D4BE4">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523D8C8E">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14:paraId="45F1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0763E5EC">
            <w:pPr>
              <w:spacing w:after="0" w:line="360" w:lineRule="auto"/>
              <w:jc w:val="both"/>
              <w:rPr>
                <w:rFonts w:ascii="Times New Roman" w:hAnsi="Times New Roman" w:cs="Times New Roman"/>
                <w:b/>
                <w:bCs/>
                <w:sz w:val="24"/>
                <w:szCs w:val="24"/>
                <w:lang w:val="en-GB"/>
              </w:rPr>
            </w:pPr>
          </w:p>
        </w:tc>
        <w:tc>
          <w:tcPr>
            <w:tcW w:w="2337" w:type="dxa"/>
          </w:tcPr>
          <w:p w14:paraId="1E7846C8">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14:paraId="07403B67">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14:paraId="4633A29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14:paraId="4DB5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015F6A83">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4485C88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5B6AD1F0">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2C04C2E6">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6097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FF2CE43">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30DFC6EB">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13DEF267">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6B060267">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345FD5D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5D01061F">
      <w:pPr>
        <w:spacing w:line="360" w:lineRule="auto"/>
        <w:jc w:val="both"/>
        <w:rPr>
          <w:rFonts w:ascii="Times New Roman" w:hAnsi="Times New Roman" w:cs="Times New Roman"/>
          <w:sz w:val="24"/>
          <w:szCs w:val="24"/>
          <w:lang w:val="en-GB"/>
        </w:rPr>
      </w:pPr>
    </w:p>
    <w:p w14:paraId="40F11B9B">
      <w:pPr>
        <w:spacing w:line="360" w:lineRule="auto"/>
        <w:jc w:val="both"/>
        <w:rPr>
          <w:rFonts w:ascii="Times New Roman" w:hAnsi="Times New Roman" w:cs="Times New Roman"/>
          <w:sz w:val="24"/>
          <w:szCs w:val="24"/>
          <w:lang w:val="en-GB"/>
        </w:rPr>
      </w:pPr>
    </w:p>
    <w:p w14:paraId="3CFB19AD">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51B8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0814C48A">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1FC48893">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14:paraId="6188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212A3763">
            <w:pPr>
              <w:spacing w:after="0" w:line="360" w:lineRule="auto"/>
              <w:jc w:val="both"/>
              <w:rPr>
                <w:rFonts w:ascii="Times New Roman" w:hAnsi="Times New Roman" w:cs="Times New Roman"/>
                <w:b/>
                <w:bCs/>
                <w:sz w:val="24"/>
                <w:szCs w:val="24"/>
                <w:lang w:val="en-GB"/>
              </w:rPr>
            </w:pPr>
          </w:p>
        </w:tc>
        <w:tc>
          <w:tcPr>
            <w:tcW w:w="2337" w:type="dxa"/>
          </w:tcPr>
          <w:p w14:paraId="6B9B845D">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14:paraId="4831D4D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14:paraId="3ABF8CC8">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14:paraId="6F99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2DA787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224C9AEB">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6FDFDE7E">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7A677FA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4740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57FF85F">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79684CEB">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315BCF9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2A382714">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508FBBF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sectPr>
      <w:headerReference r:id="rId5" w:type="default"/>
      <w:footerReference r:id="rId6"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BD74">
    <w:pPr>
      <w:pStyle w:val="3"/>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1FC234">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61FC234">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7C91">
    <w:pPr>
      <w:pStyle w:val="4"/>
      <w:rPr>
        <w:rFonts w:hint="default" w:eastAsiaTheme="minorEastAsia"/>
        <w:b/>
        <w:bCs/>
        <w:i/>
        <w:color w:val="808080" w:themeColor="background1" w:themeShade="80"/>
        <w:sz w:val="20"/>
        <w:lang w:val="en-US" w:eastAsia="zh-CN"/>
      </w:rPr>
    </w:pPr>
    <w:r>
      <w:rPr>
        <w:rFonts w:hint="eastAsia"/>
        <w:b/>
        <w:bCs/>
        <w:i/>
        <w:color w:val="808080" w:themeColor="background1" w:themeShade="80"/>
        <w:sz w:val="20"/>
        <w:lang w:val="en-US" w:eastAsia="zh-CN"/>
      </w:rPr>
      <w:t>Journal of Seismic Exploration</w:t>
    </w:r>
  </w:p>
  <w:p w14:paraId="6EBF9EF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57BAE"/>
    <w:multiLevelType w:val="multilevel"/>
    <w:tmpl w:val="64457BA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94"/>
    <w:rsid w:val="00147178"/>
    <w:rsid w:val="001704CB"/>
    <w:rsid w:val="0019614B"/>
    <w:rsid w:val="001E647C"/>
    <w:rsid w:val="002C6685"/>
    <w:rsid w:val="00307923"/>
    <w:rsid w:val="003B0978"/>
    <w:rsid w:val="003E461D"/>
    <w:rsid w:val="00405BF0"/>
    <w:rsid w:val="004434E3"/>
    <w:rsid w:val="00490305"/>
    <w:rsid w:val="004B3421"/>
    <w:rsid w:val="004F30C3"/>
    <w:rsid w:val="00505755"/>
    <w:rsid w:val="00591A01"/>
    <w:rsid w:val="005D591B"/>
    <w:rsid w:val="005F03A2"/>
    <w:rsid w:val="0062029B"/>
    <w:rsid w:val="00621FEC"/>
    <w:rsid w:val="00633BA6"/>
    <w:rsid w:val="0063621C"/>
    <w:rsid w:val="00691395"/>
    <w:rsid w:val="006D3335"/>
    <w:rsid w:val="0076419F"/>
    <w:rsid w:val="00792734"/>
    <w:rsid w:val="007C4A58"/>
    <w:rsid w:val="00841373"/>
    <w:rsid w:val="008A2665"/>
    <w:rsid w:val="0094473A"/>
    <w:rsid w:val="00992F82"/>
    <w:rsid w:val="009A4227"/>
    <w:rsid w:val="009E5E8E"/>
    <w:rsid w:val="00B35188"/>
    <w:rsid w:val="00CF03A5"/>
    <w:rsid w:val="00D201D5"/>
    <w:rsid w:val="00D264D7"/>
    <w:rsid w:val="00D309D7"/>
    <w:rsid w:val="00DF1D05"/>
    <w:rsid w:val="00E07694"/>
    <w:rsid w:val="00E33F20"/>
    <w:rsid w:val="00EB1A4C"/>
    <w:rsid w:val="21BF41CF"/>
    <w:rsid w:val="2BFE0C18"/>
    <w:rsid w:val="2DA06C8B"/>
    <w:rsid w:val="392D1598"/>
    <w:rsid w:val="527360E6"/>
    <w:rsid w:val="562F4F99"/>
    <w:rsid w:val="6299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1"/>
    <w:unhideWhenUsed/>
    <w:qFormat/>
    <w:uiPriority w:val="99"/>
    <w:pPr>
      <w:tabs>
        <w:tab w:val="center" w:pos="4680"/>
        <w:tab w:val="right" w:pos="9360"/>
      </w:tabs>
      <w:spacing w:after="0" w:line="240" w:lineRule="auto"/>
    </w:pPr>
  </w:style>
  <w:style w:type="paragraph" w:styleId="4">
    <w:name w:val="header"/>
    <w:basedOn w:val="1"/>
    <w:link w:val="10"/>
    <w:unhideWhenUsed/>
    <w:qFormat/>
    <w:uiPriority w:val="99"/>
    <w:pPr>
      <w:tabs>
        <w:tab w:val="center" w:pos="4680"/>
        <w:tab w:val="right" w:pos="9360"/>
      </w:tabs>
      <w:spacing w:after="0" w:line="240" w:lineRule="auto"/>
    </w:p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semiHidden/>
    <w:unhideWhenUsed/>
    <w:qFormat/>
    <w:uiPriority w:val="99"/>
    <w:rPr>
      <w:sz w:val="16"/>
      <w:szCs w:val="16"/>
    </w:rPr>
  </w:style>
  <w:style w:type="character" w:customStyle="1" w:styleId="10">
    <w:name w:val="页眉 Char"/>
    <w:basedOn w:val="7"/>
    <w:link w:val="4"/>
    <w:qFormat/>
    <w:uiPriority w:val="99"/>
  </w:style>
  <w:style w:type="character" w:customStyle="1" w:styleId="11">
    <w:name w:val="页脚 Char"/>
    <w:basedOn w:val="7"/>
    <w:link w:val="3"/>
    <w:qFormat/>
    <w:uiPriority w:val="99"/>
  </w:style>
  <w:style w:type="character" w:customStyle="1" w:styleId="12">
    <w:name w:val="批注文字 Char"/>
    <w:basedOn w:val="7"/>
    <w:link w:val="2"/>
    <w:semiHidden/>
    <w:qFormat/>
    <w:uiPriority w:val="99"/>
    <w:rPr>
      <w:rFonts w:ascii="Times New Roman" w:hAnsi="Times New Roman" w:eastAsia="宋体"/>
      <w:sz w:val="20"/>
      <w:szCs w:val="20"/>
      <w:lang w:val="en-GB" w:eastAsia="en-US"/>
    </w:rPr>
  </w:style>
  <w:style w:type="paragraph" w:styleId="13">
    <w:name w:val="List Paragraph"/>
    <w:basedOn w:val="1"/>
    <w:qFormat/>
    <w:uiPriority w:val="34"/>
    <w:pPr>
      <w:ind w:left="720"/>
      <w:contextualSpacing/>
    </w:pPr>
  </w:style>
  <w:style w:type="character" w:styleId="14">
    <w:name w:val="Placeholder Text"/>
    <w:basedOn w:val="7"/>
    <w:semiHidden/>
    <w:qFormat/>
    <w:uiPriority w:val="99"/>
    <w:rPr>
      <w:color w:val="808080"/>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903</Words>
  <Characters>5020</Characters>
  <Lines>49</Lines>
  <Paragraphs>14</Paragraphs>
  <TotalTime>107</TotalTime>
  <ScaleCrop>false</ScaleCrop>
  <LinksUpToDate>false</LinksUpToDate>
  <CharactersWithSpaces>5855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刘文兵</cp:lastModifiedBy>
  <dcterms:modified xsi:type="dcterms:W3CDTF">2025-05-13T07:41:27Z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09356457E82A4DCC8B71CB2450370CED_12</vt:lpwstr>
  </property>
  <property fmtid="{D5CDD505-2E9C-101B-9397-08002B2CF9AE}" pid="4" name="KSOTemplateDocerSaveRecord">
    <vt:lpwstr>eyJoZGlkIjoiODAyMDk1ZDAyNjY3MDdiZjdlNGM3ZmY4NzZkYTBiMjYiLCJ1c2VySWQiOiIyNDU1NTQzMDIifQ==</vt:lpwstr>
  </property>
</Properties>
</file>